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177" w:rsidRPr="00755177" w:rsidRDefault="00755177" w:rsidP="00755177">
      <w:pPr>
        <w:pStyle w:val="1"/>
      </w:pPr>
      <w:r w:rsidRPr="00755177">
        <w:rPr>
          <w:rFonts w:hint="eastAsia"/>
        </w:rPr>
        <w:t>保护接地系统（</w:t>
      </w:r>
      <w:r w:rsidRPr="00755177">
        <w:rPr>
          <w:rFonts w:hint="eastAsia"/>
        </w:rPr>
        <w:t>TT</w:t>
      </w:r>
      <w:r w:rsidRPr="00755177">
        <w:rPr>
          <w:rFonts w:hint="eastAsia"/>
        </w:rPr>
        <w:t>系统）导体选择与开关保护配置</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color w:val="666666"/>
          <w:sz w:val="23"/>
          <w:szCs w:val="23"/>
        </w:rPr>
      </w:pPr>
      <w:r>
        <w:rPr>
          <w:rFonts w:ascii="微软雅黑" w:eastAsia="微软雅黑" w:hAnsi="微软雅黑" w:hint="eastAsia"/>
          <w:color w:val="666666"/>
          <w:sz w:val="23"/>
          <w:szCs w:val="23"/>
        </w:rPr>
        <w:t>低压系统接地型式TN-S、TN-C-S、TN-C、TT、IT系统中的字母具体代表什么含义？</w:t>
      </w:r>
    </w:p>
    <w:p w:rsidR="001B305D" w:rsidRDefault="001B305D" w:rsidP="001B305D">
      <w:pPr>
        <w:pStyle w:val="a3"/>
        <w:shd w:val="clear" w:color="auto" w:fill="FFFFFF"/>
        <w:spacing w:before="0" w:beforeAutospacing="0" w:after="0" w:afterAutospacing="0"/>
        <w:ind w:firstLine="460"/>
        <w:jc w:val="center"/>
        <w:rPr>
          <w:rFonts w:ascii="微软雅黑" w:eastAsia="微软雅黑" w:hAnsi="微软雅黑" w:hint="eastAsia"/>
          <w:color w:val="666666"/>
          <w:sz w:val="23"/>
          <w:szCs w:val="23"/>
        </w:rPr>
      </w:pPr>
      <w:r>
        <w:rPr>
          <w:rFonts w:ascii="微软雅黑" w:eastAsia="微软雅黑" w:hAnsi="微软雅黑"/>
          <w:noProof/>
          <w:color w:val="666666"/>
          <w:sz w:val="23"/>
          <w:szCs w:val="23"/>
        </w:rPr>
        <w:drawing>
          <wp:inline distT="0" distB="0" distL="0" distR="0" wp14:anchorId="3F7EA0E2" wp14:editId="3B4526D1">
            <wp:extent cx="4762500" cy="1927151"/>
            <wp:effectExtent l="0" t="0" r="0" b="0"/>
            <wp:docPr id="1" name="图片 2" descr="保护接地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保护接地系统"/>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7466" cy="1941300"/>
                    </a:xfrm>
                    <a:prstGeom prst="rect">
                      <a:avLst/>
                    </a:prstGeom>
                    <a:noFill/>
                    <a:ln>
                      <a:noFill/>
                    </a:ln>
                  </pic:spPr>
                </pic:pic>
              </a:graphicData>
            </a:graphic>
          </wp:inline>
        </w:drawing>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Style w:val="a4"/>
          <w:rFonts w:ascii="微软雅黑" w:hAnsi="微软雅黑" w:hint="eastAsia"/>
          <w:color w:val="36C6D3"/>
          <w:sz w:val="23"/>
          <w:szCs w:val="23"/>
          <w:bdr w:val="none" w:sz="0" w:space="0" w:color="auto" w:frame="1"/>
        </w:rPr>
        <w:t>国标</w:t>
      </w:r>
      <w:r>
        <w:rPr>
          <w:rStyle w:val="a4"/>
          <w:rFonts w:ascii="微软雅黑" w:hAnsi="微软雅黑" w:hint="eastAsia"/>
          <w:color w:val="36C6D3"/>
          <w:sz w:val="23"/>
          <w:szCs w:val="23"/>
          <w:bdr w:val="none" w:sz="0" w:space="0" w:color="auto" w:frame="1"/>
        </w:rPr>
        <w:t>DL/T 621</w:t>
      </w:r>
      <w:r>
        <w:rPr>
          <w:rStyle w:val="a4"/>
          <w:rFonts w:ascii="微软雅黑" w:hAnsi="微软雅黑" w:hint="eastAsia"/>
          <w:color w:val="36C6D3"/>
          <w:sz w:val="23"/>
          <w:szCs w:val="23"/>
          <w:bdr w:val="none" w:sz="0" w:space="0" w:color="auto" w:frame="1"/>
        </w:rPr>
        <w:t>中第</w:t>
      </w:r>
      <w:r>
        <w:rPr>
          <w:rStyle w:val="a4"/>
          <w:rFonts w:ascii="微软雅黑" w:hAnsi="微软雅黑" w:hint="eastAsia"/>
          <w:color w:val="36C6D3"/>
          <w:sz w:val="23"/>
          <w:szCs w:val="23"/>
          <w:bdr w:val="none" w:sz="0" w:space="0" w:color="auto" w:frame="1"/>
        </w:rPr>
        <w:t>7.1.1</w:t>
      </w:r>
      <w:r>
        <w:rPr>
          <w:rStyle w:val="a4"/>
          <w:rFonts w:ascii="微软雅黑" w:hAnsi="微软雅黑" w:hint="eastAsia"/>
          <w:color w:val="36C6D3"/>
          <w:sz w:val="23"/>
          <w:szCs w:val="23"/>
          <w:bdr w:val="none" w:sz="0" w:space="0" w:color="auto" w:frame="1"/>
        </w:rPr>
        <w:t>条款对系统接地型式的定义：</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7.1.1 低压系统接地可采用以下几种型式。</w:t>
      </w:r>
    </w:p>
    <w:p w:rsidR="001B305D" w:rsidRDefault="001B305D" w:rsidP="00FC3DBA">
      <w:pPr>
        <w:pStyle w:val="a3"/>
        <w:shd w:val="clear" w:color="auto" w:fill="FFFFFF"/>
        <w:spacing w:before="0" w:beforeAutospacing="0" w:after="0" w:afterAutospacing="0"/>
        <w:ind w:firstLineChars="200"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a)TN系统。系统有一点直接接地，装置的外露导电部分用保护线与该点连接。按照中性线与保护线的组合情况，TN系统有以下3种型式:</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1) TN-S系统。整个系统的中性线与保护线是分开的；</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w:t>
      </w:r>
      <w:r w:rsidR="00FC3DBA">
        <w:rPr>
          <w:rFonts w:ascii="微软雅黑" w:eastAsia="微软雅黑" w:hAnsi="微软雅黑"/>
          <w:color w:val="666666"/>
          <w:sz w:val="23"/>
          <w:szCs w:val="23"/>
        </w:rPr>
        <w:t xml:space="preserve"> </w:t>
      </w:r>
      <w:r>
        <w:rPr>
          <w:rFonts w:ascii="微软雅黑" w:eastAsia="微软雅黑" w:hAnsi="微软雅黑" w:hint="eastAsia"/>
          <w:color w:val="666666"/>
          <w:sz w:val="23"/>
          <w:szCs w:val="23"/>
        </w:rPr>
        <w:t>2) TN-C-S系统。系统中有一部分中性线与保护线是合一的；</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3) TN-C系统。整个系统的中性线与保护线是合一的；</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b)TT系统。TT系统有一个直接接地点，电气装置的外露导电部分接至电气上与低压系统的接地点无关的接地装置；</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c)IT系统。IT系统的带电部分与大地间不直接连接(经阻抗接地或不接地)，而电气装置的外露导电部分则是接地的。</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Style w:val="a4"/>
          <w:rFonts w:ascii="微软雅黑" w:hAnsi="微软雅黑" w:hint="eastAsia"/>
          <w:color w:val="36C6D3"/>
          <w:sz w:val="23"/>
          <w:szCs w:val="23"/>
          <w:bdr w:val="none" w:sz="0" w:space="0" w:color="auto" w:frame="1"/>
        </w:rPr>
        <w:t>采用</w:t>
      </w:r>
      <w:r>
        <w:rPr>
          <w:rStyle w:val="a4"/>
          <w:rFonts w:ascii="微软雅黑" w:hAnsi="微软雅黑" w:hint="eastAsia"/>
          <w:color w:val="36C6D3"/>
          <w:sz w:val="23"/>
          <w:szCs w:val="23"/>
          <w:bdr w:val="none" w:sz="0" w:space="0" w:color="auto" w:frame="1"/>
        </w:rPr>
        <w:t>TT</w:t>
      </w:r>
      <w:r>
        <w:rPr>
          <w:rStyle w:val="a4"/>
          <w:rFonts w:ascii="微软雅黑" w:hAnsi="微软雅黑" w:hint="eastAsia"/>
          <w:color w:val="36C6D3"/>
          <w:sz w:val="23"/>
          <w:szCs w:val="23"/>
          <w:bdr w:val="none" w:sz="0" w:space="0" w:color="auto" w:frame="1"/>
        </w:rPr>
        <w:t>系统时应满足以下要求：</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1.采用TT系统，除变压器低压侧中性点直接接地外，中性线不得再行接地，且应保持与相线（火线）同等的绝缘水平。</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lastRenderedPageBreak/>
        <w:t>2.为了防止中性线的机械断线，其截面积应满足以下要求：</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Style w:val="a4"/>
          <w:rFonts w:ascii="微软雅黑" w:hAnsi="微软雅黑" w:hint="eastAsia"/>
          <w:color w:val="36C6D3"/>
          <w:sz w:val="23"/>
          <w:szCs w:val="23"/>
          <w:bdr w:val="none" w:sz="0" w:space="0" w:color="auto" w:frame="1"/>
        </w:rPr>
        <w:t>采用</w:t>
      </w:r>
      <w:r>
        <w:rPr>
          <w:rStyle w:val="a4"/>
          <w:rFonts w:ascii="微软雅黑" w:hAnsi="微软雅黑" w:hint="eastAsia"/>
          <w:color w:val="36C6D3"/>
          <w:sz w:val="23"/>
          <w:szCs w:val="23"/>
          <w:bdr w:val="none" w:sz="0" w:space="0" w:color="auto" w:frame="1"/>
        </w:rPr>
        <w:t>TT</w:t>
      </w:r>
      <w:r>
        <w:rPr>
          <w:rStyle w:val="a4"/>
          <w:rFonts w:ascii="微软雅黑" w:hAnsi="微软雅黑" w:hint="eastAsia"/>
          <w:color w:val="36C6D3"/>
          <w:sz w:val="23"/>
          <w:szCs w:val="23"/>
          <w:bdr w:val="none" w:sz="0" w:space="0" w:color="auto" w:frame="1"/>
        </w:rPr>
        <w:t>系统时应满足以下要求：</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1.采用TT系统，除变压器低压侧中性点直接接地外，中性线不得再行接地，且应保持与相线（火线）同等的绝缘水平。</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2.为了防止中性线的机械断线，其截面积应满足以下要求：</w:t>
      </w:r>
    </w:p>
    <w:p w:rsidR="001B305D" w:rsidRDefault="001B305D" w:rsidP="001B305D">
      <w:pPr>
        <w:pStyle w:val="a3"/>
        <w:shd w:val="clear" w:color="auto" w:fill="FFFFFF"/>
        <w:spacing w:before="0" w:beforeAutospacing="0" w:after="0" w:afterAutospacing="0"/>
        <w:ind w:firstLine="460"/>
        <w:jc w:val="center"/>
        <w:rPr>
          <w:rFonts w:ascii="微软雅黑" w:eastAsia="微软雅黑" w:hAnsi="微软雅黑" w:hint="eastAsia"/>
          <w:color w:val="666666"/>
          <w:sz w:val="23"/>
          <w:szCs w:val="23"/>
        </w:rPr>
      </w:pPr>
      <w:r>
        <w:rPr>
          <w:rFonts w:ascii="微软雅黑" w:eastAsia="微软雅黑" w:hAnsi="微软雅黑"/>
          <w:noProof/>
          <w:color w:val="666666"/>
          <w:sz w:val="23"/>
          <w:szCs w:val="23"/>
        </w:rPr>
        <w:drawing>
          <wp:inline distT="0" distB="0" distL="0" distR="0" wp14:anchorId="77EEC834" wp14:editId="229C58DB">
            <wp:extent cx="4965700" cy="881760"/>
            <wp:effectExtent l="0" t="0" r="6350" b="0"/>
            <wp:docPr id="2" name="图片 2" descr="中性线的机械断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性线的机械断线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7325" cy="892703"/>
                    </a:xfrm>
                    <a:prstGeom prst="rect">
                      <a:avLst/>
                    </a:prstGeom>
                    <a:noFill/>
                    <a:ln>
                      <a:noFill/>
                    </a:ln>
                  </pic:spPr>
                </pic:pic>
              </a:graphicData>
            </a:graphic>
          </wp:inline>
        </w:drawing>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3.电源进线开关应隔离（能断开）中性线，漏电保护器必须隔离（能断开）中性线。</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4.必须实施剩余电流保护（即必须安装漏电保护开关），包括：</w:t>
      </w:r>
    </w:p>
    <w:p w:rsidR="001B305D" w:rsidRDefault="001B305D" w:rsidP="002D6E33">
      <w:pPr>
        <w:pStyle w:val="a3"/>
        <w:shd w:val="clear" w:color="auto" w:fill="FFFFFF"/>
        <w:spacing w:before="0" w:beforeAutospacing="0" w:after="0" w:afterAutospacing="0"/>
        <w:ind w:firstLineChars="100" w:firstLine="23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（1）剩余电流总保护、剩余电流中级保护（必要时）</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二级保护时，总保护整定（额定剩余动作电流）：100~200mA；</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三级保护时，总保护整定（额定剩余动作电流）：200~300mA，中级保护整定：60~100mA。</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（2）剩余电流末级保护</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末级保护整定值：家用电器、固定安装电器、移动式电器及临时用电设备≤30mA，手持式电动器具为10mA，特别潮湿的场所为6mA。</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额定漏电不动作电流优先值（I△no）为额定漏电动作电流（I△n）的一半。如一个额定漏电动作电流（I△n）为30mA的漏电保护器，其额定漏电不动作电流（I△no）宜为15mA。即当线路和用电设备泄漏电流值≤15mA时，漏电保护器不应跳闸；当线路和</w:t>
      </w:r>
      <w:hyperlink r:id="rId8" w:tgtFrame="_self" w:tooltip="用电设备" w:history="1">
        <w:r>
          <w:rPr>
            <w:rStyle w:val="a5"/>
            <w:rFonts w:ascii="微软雅黑" w:eastAsia="微软雅黑" w:hAnsi="微软雅黑" w:hint="eastAsia"/>
            <w:sz w:val="23"/>
            <w:szCs w:val="23"/>
            <w:bdr w:val="none" w:sz="0" w:space="0" w:color="auto" w:frame="1"/>
          </w:rPr>
          <w:t>用电设备</w:t>
        </w:r>
      </w:hyperlink>
      <w:r>
        <w:rPr>
          <w:rFonts w:ascii="微软雅黑" w:eastAsia="微软雅黑" w:hAnsi="微软雅黑" w:hint="eastAsia"/>
          <w:color w:val="666666"/>
          <w:sz w:val="23"/>
          <w:szCs w:val="23"/>
        </w:rPr>
        <w:t>泄漏电流值≥30mA时，漏电保护器必须跳闸起到保护</w:t>
      </w:r>
      <w:r>
        <w:rPr>
          <w:rFonts w:ascii="微软雅黑" w:eastAsia="微软雅黑" w:hAnsi="微软雅黑" w:hint="eastAsia"/>
          <w:color w:val="666666"/>
          <w:sz w:val="23"/>
          <w:szCs w:val="23"/>
        </w:rPr>
        <w:lastRenderedPageBreak/>
        <w:t>作用；当泄漏电流大于15mA且小于30mA时，这时漏电保护器可能跳闸，也可能不跳闸，但均属于正常状态。</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额定漏电动作电流（I△n）的优先值为：0.006、0.01、0.03、0.05、0.1、0.3、0.5、1、3、4、10A，其中0.03A及以下为高灵敏度，0.03A以上至1A为中灵敏度。</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漏电保护器的动作时间（toff）由保护要求决定，分为以下三种类型：a、快速型：toff≤0.1s，b、延时型：toff优先值为0.2、0.24、0.8、1、1.5、2.5s，c、反时限型。</w:t>
      </w:r>
    </w:p>
    <w:p w:rsidR="001B305D" w:rsidRDefault="001B305D" w:rsidP="001B305D">
      <w:pPr>
        <w:pStyle w:val="a3"/>
        <w:shd w:val="clear" w:color="auto" w:fill="FFFFFF"/>
        <w:spacing w:before="0" w:beforeAutospacing="0" w:after="0" w:afterAutospacing="0"/>
        <w:ind w:firstLine="46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额定漏电动作时间之间的选择性：末级箱采用快速动作型，其动作时间≤0.1s，分配电箱采用延时型，其动作时间可选0.1~0.4s，总配电箱也采用延时型，其动作时间选择在0.1~1s，每级宜相差0.2s。</w:t>
      </w:r>
    </w:p>
    <w:p w:rsidR="001B305D" w:rsidRDefault="001B305D" w:rsidP="00CC143F">
      <w:pPr>
        <w:pStyle w:val="a3"/>
        <w:shd w:val="clear" w:color="auto" w:fill="FFFFFF"/>
        <w:spacing w:before="0" w:beforeAutospacing="0" w:after="0" w:afterAutospacing="0"/>
        <w:rPr>
          <w:rFonts w:ascii="微软雅黑" w:eastAsia="微软雅黑" w:hAnsi="微软雅黑" w:hint="eastAsia"/>
          <w:color w:val="666666"/>
          <w:sz w:val="23"/>
          <w:szCs w:val="23"/>
        </w:rPr>
      </w:pPr>
      <w:r>
        <w:rPr>
          <w:rStyle w:val="a4"/>
          <w:rFonts w:ascii="微软雅黑" w:hAnsi="微软雅黑" w:hint="eastAsia"/>
          <w:color w:val="666666"/>
          <w:sz w:val="23"/>
          <w:szCs w:val="23"/>
          <w:bdr w:val="none" w:sz="0" w:space="0" w:color="auto" w:frame="1"/>
        </w:rPr>
        <w:t>推荐配置方案：</w:t>
      </w:r>
    </w:p>
    <w:p w:rsidR="001B305D" w:rsidRDefault="001B305D" w:rsidP="001B305D">
      <w:pPr>
        <w:pStyle w:val="a3"/>
        <w:shd w:val="clear" w:color="auto" w:fill="FFFFFF"/>
        <w:spacing w:before="0" w:beforeAutospacing="0" w:after="0" w:afterAutospacing="0"/>
        <w:ind w:firstLine="460"/>
        <w:jc w:val="center"/>
        <w:rPr>
          <w:rFonts w:ascii="微软雅黑" w:eastAsia="微软雅黑" w:hAnsi="微软雅黑" w:hint="eastAsia"/>
          <w:color w:val="666666"/>
          <w:sz w:val="23"/>
          <w:szCs w:val="23"/>
        </w:rPr>
      </w:pPr>
      <w:r>
        <w:rPr>
          <w:rFonts w:ascii="微软雅黑" w:eastAsia="微软雅黑" w:hAnsi="微软雅黑"/>
          <w:noProof/>
          <w:color w:val="666666"/>
          <w:sz w:val="23"/>
          <w:szCs w:val="23"/>
        </w:rPr>
        <w:drawing>
          <wp:inline distT="0" distB="0" distL="0" distR="0" wp14:anchorId="1E836562" wp14:editId="5C3C55BC">
            <wp:extent cx="4813300" cy="1091906"/>
            <wp:effectExtent l="0" t="0" r="6350" b="0"/>
            <wp:docPr id="3" name="图片 1" descr="推荐配置方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推荐配置方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4852" cy="1103601"/>
                    </a:xfrm>
                    <a:prstGeom prst="rect">
                      <a:avLst/>
                    </a:prstGeom>
                    <a:noFill/>
                    <a:ln>
                      <a:noFill/>
                    </a:ln>
                  </pic:spPr>
                </pic:pic>
              </a:graphicData>
            </a:graphic>
          </wp:inline>
        </w:drawing>
      </w:r>
    </w:p>
    <w:p w:rsidR="001B305D" w:rsidRDefault="001B305D" w:rsidP="007E37DB">
      <w:pPr>
        <w:pStyle w:val="a3"/>
        <w:shd w:val="clear" w:color="auto" w:fill="FFFFFF"/>
        <w:spacing w:before="0" w:beforeAutospacing="0" w:after="0" w:afterAutospacing="0"/>
        <w:rPr>
          <w:rFonts w:ascii="微软雅黑" w:eastAsia="微软雅黑" w:hAnsi="微软雅黑" w:hint="eastAsia"/>
          <w:color w:val="666666"/>
          <w:sz w:val="23"/>
          <w:szCs w:val="23"/>
        </w:rPr>
      </w:pPr>
      <w:r>
        <w:rPr>
          <w:rFonts w:ascii="微软雅黑" w:eastAsia="微软雅黑" w:hAnsi="微软雅黑" w:hint="eastAsia"/>
          <w:color w:val="666666"/>
          <w:sz w:val="23"/>
          <w:szCs w:val="23"/>
        </w:rPr>
        <w:t xml:space="preserve"> 5.配电变压器低压侧及出线回路，均应装设过电流保护，包括：短路保护和过负荷保护。</w:t>
      </w:r>
    </w:p>
    <w:p w:rsidR="0055419A" w:rsidRPr="003B529B" w:rsidRDefault="0055419A" w:rsidP="00755177">
      <w:pPr>
        <w:ind w:firstLine="420"/>
      </w:pPr>
    </w:p>
    <w:sectPr w:rsidR="0055419A" w:rsidRPr="003B529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2658" w:rsidRDefault="006A2658" w:rsidP="007E37DB">
      <w:pPr>
        <w:ind w:firstLine="420"/>
      </w:pPr>
      <w:r>
        <w:separator/>
      </w:r>
    </w:p>
  </w:endnote>
  <w:endnote w:type="continuationSeparator" w:id="0">
    <w:p w:rsidR="006A2658" w:rsidRDefault="006A2658" w:rsidP="007E37D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7DB" w:rsidRDefault="007E37DB">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11400"/>
      <w:docPartObj>
        <w:docPartGallery w:val="Page Numbers (Bottom of Page)"/>
        <w:docPartUnique/>
      </w:docPartObj>
    </w:sdtPr>
    <w:sdtContent>
      <w:sdt>
        <w:sdtPr>
          <w:id w:val="-1769616900"/>
          <w:docPartObj>
            <w:docPartGallery w:val="Page Numbers (Top of Page)"/>
            <w:docPartUnique/>
          </w:docPartObj>
        </w:sdtPr>
        <w:sdtContent>
          <w:p w:rsidR="007E37DB" w:rsidRDefault="007E37DB">
            <w:pPr>
              <w:pStyle w:val="a8"/>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7E37DB" w:rsidRDefault="007E37DB">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7DB" w:rsidRDefault="007E37DB">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2658" w:rsidRDefault="006A2658" w:rsidP="007E37DB">
      <w:pPr>
        <w:ind w:firstLine="420"/>
      </w:pPr>
      <w:r>
        <w:separator/>
      </w:r>
    </w:p>
  </w:footnote>
  <w:footnote w:type="continuationSeparator" w:id="0">
    <w:p w:rsidR="006A2658" w:rsidRDefault="006A2658" w:rsidP="007E37DB">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7DB" w:rsidRDefault="007E37DB">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7DB" w:rsidRDefault="007E37DB">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7DB" w:rsidRDefault="007E37DB">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77"/>
    <w:rsid w:val="00021D06"/>
    <w:rsid w:val="001B305D"/>
    <w:rsid w:val="002D6E33"/>
    <w:rsid w:val="003B529B"/>
    <w:rsid w:val="0055419A"/>
    <w:rsid w:val="006A2658"/>
    <w:rsid w:val="00714849"/>
    <w:rsid w:val="00755177"/>
    <w:rsid w:val="007E37DB"/>
    <w:rsid w:val="0089251E"/>
    <w:rsid w:val="00B72011"/>
    <w:rsid w:val="00CC143F"/>
    <w:rsid w:val="00D23642"/>
    <w:rsid w:val="00D46685"/>
    <w:rsid w:val="00FC3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36AC"/>
  <w15:chartTrackingRefBased/>
  <w15:docId w15:val="{DC956634-726F-4CFD-996A-E454455E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51E"/>
    <w:pPr>
      <w:widowControl w:val="0"/>
      <w:ind w:firstLineChars="200" w:firstLine="200"/>
      <w:contextualSpacing/>
    </w:pPr>
    <w:rPr>
      <w:rFonts w:eastAsia="微软雅黑"/>
    </w:rPr>
  </w:style>
  <w:style w:type="paragraph" w:styleId="1">
    <w:name w:val="heading 1"/>
    <w:basedOn w:val="a"/>
    <w:next w:val="a"/>
    <w:link w:val="10"/>
    <w:autoRedefine/>
    <w:uiPriority w:val="9"/>
    <w:qFormat/>
    <w:rsid w:val="00714849"/>
    <w:pPr>
      <w:keepNext/>
      <w:keepLines/>
      <w:widowControl/>
      <w:suppressLineNumbers/>
      <w:suppressAutoHyphens/>
      <w:ind w:firstLineChars="0" w:firstLine="0"/>
      <w:jc w:val="center"/>
      <w:outlineLvl w:val="0"/>
    </w:pPr>
    <w:rPr>
      <w:b/>
      <w:bCs/>
      <w:kern w:val="44"/>
      <w:sz w:val="32"/>
      <w:szCs w:val="44"/>
    </w:rPr>
  </w:style>
  <w:style w:type="paragraph" w:styleId="2">
    <w:name w:val="heading 2"/>
    <w:basedOn w:val="a"/>
    <w:next w:val="a"/>
    <w:link w:val="20"/>
    <w:autoRedefine/>
    <w:uiPriority w:val="9"/>
    <w:unhideWhenUsed/>
    <w:qFormat/>
    <w:rsid w:val="00D46685"/>
    <w:pPr>
      <w:keepNext/>
      <w:keepLines/>
      <w:spacing w:before="140" w:after="140"/>
      <w:outlineLvl w:val="1"/>
    </w:pPr>
    <w:rPr>
      <w:rFonts w:asciiTheme="majorHAnsi" w:hAnsiTheme="majorHAnsi" w:cstheme="majorBidi"/>
      <w:b/>
      <w:bCs/>
      <w:sz w:val="28"/>
      <w:szCs w:val="32"/>
    </w:rPr>
  </w:style>
  <w:style w:type="paragraph" w:styleId="3">
    <w:name w:val="heading 3"/>
    <w:basedOn w:val="a"/>
    <w:next w:val="a"/>
    <w:link w:val="30"/>
    <w:autoRedefine/>
    <w:uiPriority w:val="9"/>
    <w:unhideWhenUsed/>
    <w:qFormat/>
    <w:rsid w:val="00D46685"/>
    <w:pPr>
      <w:keepNext/>
      <w:keepLines/>
      <w:spacing w:before="20" w:after="2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46685"/>
    <w:rPr>
      <w:rFonts w:asciiTheme="majorHAnsi" w:eastAsia="微软雅黑" w:hAnsiTheme="majorHAnsi" w:cstheme="majorBidi"/>
      <w:b/>
      <w:bCs/>
      <w:sz w:val="28"/>
      <w:szCs w:val="32"/>
    </w:rPr>
  </w:style>
  <w:style w:type="character" w:customStyle="1" w:styleId="10">
    <w:name w:val="标题 1 字符"/>
    <w:basedOn w:val="a0"/>
    <w:link w:val="1"/>
    <w:uiPriority w:val="9"/>
    <w:rsid w:val="00714849"/>
    <w:rPr>
      <w:rFonts w:eastAsia="微软雅黑"/>
      <w:b/>
      <w:bCs/>
      <w:kern w:val="44"/>
      <w:sz w:val="32"/>
      <w:szCs w:val="44"/>
    </w:rPr>
  </w:style>
  <w:style w:type="character" w:customStyle="1" w:styleId="30">
    <w:name w:val="标题 3 字符"/>
    <w:basedOn w:val="a0"/>
    <w:link w:val="3"/>
    <w:uiPriority w:val="9"/>
    <w:rsid w:val="00D46685"/>
    <w:rPr>
      <w:rFonts w:eastAsia="微软雅黑"/>
      <w:b/>
      <w:bCs/>
      <w:szCs w:val="32"/>
    </w:rPr>
  </w:style>
  <w:style w:type="paragraph" w:styleId="a3">
    <w:name w:val="Normal (Web)"/>
    <w:basedOn w:val="a"/>
    <w:uiPriority w:val="99"/>
    <w:semiHidden/>
    <w:unhideWhenUsed/>
    <w:rsid w:val="001B305D"/>
    <w:pPr>
      <w:widowControl/>
      <w:spacing w:before="100" w:beforeAutospacing="1" w:after="100" w:afterAutospacing="1"/>
      <w:ind w:firstLineChars="0" w:firstLine="0"/>
      <w:contextualSpacing w:val="0"/>
    </w:pPr>
    <w:rPr>
      <w:rFonts w:ascii="宋体" w:eastAsia="宋体" w:hAnsi="宋体" w:cs="宋体"/>
      <w:kern w:val="0"/>
      <w:sz w:val="24"/>
      <w:szCs w:val="24"/>
    </w:rPr>
  </w:style>
  <w:style w:type="character" w:styleId="a4">
    <w:name w:val="Strong"/>
    <w:basedOn w:val="a0"/>
    <w:uiPriority w:val="22"/>
    <w:qFormat/>
    <w:rsid w:val="001B305D"/>
    <w:rPr>
      <w:b/>
      <w:bCs/>
    </w:rPr>
  </w:style>
  <w:style w:type="character" w:styleId="a5">
    <w:name w:val="Hyperlink"/>
    <w:basedOn w:val="a0"/>
    <w:uiPriority w:val="99"/>
    <w:semiHidden/>
    <w:unhideWhenUsed/>
    <w:rsid w:val="001B305D"/>
    <w:rPr>
      <w:color w:val="0000FF"/>
      <w:u w:val="single"/>
    </w:rPr>
  </w:style>
  <w:style w:type="paragraph" w:styleId="a6">
    <w:name w:val="header"/>
    <w:basedOn w:val="a"/>
    <w:link w:val="a7"/>
    <w:uiPriority w:val="99"/>
    <w:unhideWhenUsed/>
    <w:rsid w:val="007E37DB"/>
    <w:pPr>
      <w:tabs>
        <w:tab w:val="center" w:pos="4153"/>
        <w:tab w:val="right" w:pos="8306"/>
      </w:tabs>
      <w:snapToGrid w:val="0"/>
      <w:jc w:val="center"/>
    </w:pPr>
    <w:rPr>
      <w:sz w:val="18"/>
      <w:szCs w:val="18"/>
    </w:rPr>
  </w:style>
  <w:style w:type="character" w:customStyle="1" w:styleId="a7">
    <w:name w:val="页眉 字符"/>
    <w:basedOn w:val="a0"/>
    <w:link w:val="a6"/>
    <w:uiPriority w:val="99"/>
    <w:rsid w:val="007E37DB"/>
    <w:rPr>
      <w:rFonts w:eastAsia="微软雅黑"/>
      <w:sz w:val="18"/>
      <w:szCs w:val="18"/>
    </w:rPr>
  </w:style>
  <w:style w:type="paragraph" w:styleId="a8">
    <w:name w:val="footer"/>
    <w:basedOn w:val="a"/>
    <w:link w:val="a9"/>
    <w:uiPriority w:val="99"/>
    <w:unhideWhenUsed/>
    <w:rsid w:val="007E37DB"/>
    <w:pPr>
      <w:tabs>
        <w:tab w:val="center" w:pos="4153"/>
        <w:tab w:val="right" w:pos="8306"/>
      </w:tabs>
      <w:snapToGrid w:val="0"/>
    </w:pPr>
    <w:rPr>
      <w:sz w:val="18"/>
      <w:szCs w:val="18"/>
    </w:rPr>
  </w:style>
  <w:style w:type="character" w:customStyle="1" w:styleId="a9">
    <w:name w:val="页脚 字符"/>
    <w:basedOn w:val="a0"/>
    <w:link w:val="a8"/>
    <w:uiPriority w:val="99"/>
    <w:rsid w:val="007E37DB"/>
    <w:rPr>
      <w:rFonts w:eastAsia="微软雅黑"/>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862">
      <w:bodyDiv w:val="1"/>
      <w:marLeft w:val="0"/>
      <w:marRight w:val="0"/>
      <w:marTop w:val="0"/>
      <w:marBottom w:val="0"/>
      <w:divBdr>
        <w:top w:val="none" w:sz="0" w:space="0" w:color="auto"/>
        <w:left w:val="none" w:sz="0" w:space="0" w:color="auto"/>
        <w:bottom w:val="none" w:sz="0" w:space="0" w:color="auto"/>
        <w:right w:val="none" w:sz="0" w:space="0" w:color="auto"/>
      </w:divBdr>
    </w:div>
    <w:div w:id="11211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inengdianli.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MEI</dc:creator>
  <cp:keywords/>
  <dc:description/>
  <cp:lastModifiedBy>LIN MEI</cp:lastModifiedBy>
  <cp:revision>5</cp:revision>
  <dcterms:created xsi:type="dcterms:W3CDTF">2023-08-22T02:32:00Z</dcterms:created>
  <dcterms:modified xsi:type="dcterms:W3CDTF">2023-08-22T02:41:00Z</dcterms:modified>
</cp:coreProperties>
</file>